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EE74B4"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0EFDD20" w:rsidR="006D3771" w:rsidRPr="008B6B20" w:rsidRDefault="00A53917" w:rsidP="006D3771">
            <w:pPr>
              <w:jc w:val="center"/>
              <w:rPr>
                <w:sz w:val="32"/>
                <w:szCs w:val="32"/>
                <w:lang w:val="en-GB"/>
              </w:rPr>
            </w:pPr>
            <w:r>
              <w:rPr>
                <w:sz w:val="32"/>
                <w:szCs w:val="32"/>
                <w:lang w:val="en-GB"/>
              </w:rPr>
              <w:t>C</w:t>
            </w:r>
            <w:r w:rsidR="00A75E87">
              <w:rPr>
                <w:sz w:val="32"/>
                <w:szCs w:val="32"/>
                <w:lang w:val="en-GB"/>
              </w:rPr>
              <w:t>yprus</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58FA4A76" w:rsidR="008B6B20" w:rsidRPr="00574B1E" w:rsidRDefault="00000000" w:rsidP="008B6B20">
      <w:pPr>
        <w:rPr>
          <w:rFonts w:ascii="Calibri" w:hAnsi="Calibri" w:cs="Calibri"/>
          <w:lang w:val="en-US"/>
        </w:rPr>
      </w:pPr>
      <w:hyperlink r:id="rId11" w:history="1">
        <w:r w:rsidR="00A75E87">
          <w:rPr>
            <w:rStyle w:val="Hyperlink"/>
            <w:rFonts w:ascii="Calibri" w:hAnsi="Calibri" w:cs="Calibri"/>
            <w:lang w:val="en-US"/>
          </w:rPr>
          <w:t>CEPEJ Evaluation Report - Country Profiles – Cyprus</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E67B653"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A75E87">
          <w:rPr>
            <w:rStyle w:val="Hyperlink"/>
            <w:rFonts w:ascii="Calibri" w:hAnsi="Calibri" w:cs="Calibri"/>
            <w:lang w:val="en-US"/>
          </w:rPr>
          <w:t>CEPEJ Country fiche - Scoreboard - Cyprus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24AADB73" w14:textId="77777777" w:rsidR="001002FD" w:rsidRDefault="001002FD" w:rsidP="001002FD">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Cyprus</w:t>
      </w:r>
    </w:p>
    <w:p w14:paraId="49B19541" w14:textId="77777777" w:rsidR="001002FD" w:rsidRDefault="001002FD" w:rsidP="001002FD">
      <w:pPr>
        <w:pStyle w:val="Default"/>
        <w:jc w:val="both"/>
        <w:rPr>
          <w:rFonts w:asciiTheme="minorHAnsi" w:eastAsiaTheme="minorEastAsia" w:hAnsiTheme="minorHAnsi" w:cstheme="minorHAnsi"/>
          <w:b/>
          <w:bCs/>
          <w:color w:val="auto"/>
          <w:sz w:val="20"/>
          <w:szCs w:val="20"/>
          <w:lang w:val="en-GB"/>
        </w:rPr>
      </w:pPr>
    </w:p>
    <w:p w14:paraId="3CB7CD95" w14:textId="77777777" w:rsidR="001002FD" w:rsidRPr="00FF2525" w:rsidRDefault="001002FD" w:rsidP="001002FD">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CoE’s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69FCDCAD" w14:textId="77777777" w:rsidR="001002FD" w:rsidRDefault="001002FD">
      <w:pPr>
        <w:rPr>
          <w:rFonts w:cs="Arial"/>
          <w:color w:val="FFFFFF" w:themeColor="background1"/>
          <w:sz w:val="22"/>
          <w:szCs w:val="22"/>
          <w:shd w:val="clear" w:color="auto" w:fill="1F3864" w:themeFill="accent1" w:themeFillShade="80"/>
          <w:lang w:val="en-US"/>
        </w:rPr>
      </w:pPr>
    </w:p>
    <w:p w14:paraId="793716E7" w14:textId="77777777" w:rsidR="001002FD" w:rsidRDefault="001002FD" w:rsidP="001002FD">
      <w:pPr>
        <w:pStyle w:val="ListParagraph"/>
        <w:numPr>
          <w:ilvl w:val="0"/>
          <w:numId w:val="13"/>
        </w:numPr>
        <w:rPr>
          <w:rFonts w:cstheme="minorHAnsi"/>
          <w:i/>
          <w:iCs/>
          <w:lang w:val="en-GB"/>
        </w:rPr>
      </w:pPr>
      <w:r w:rsidRPr="00C1563B">
        <w:rPr>
          <w:rFonts w:cstheme="minorHAnsi"/>
          <w:i/>
          <w:iCs/>
          <w:lang w:val="en-GB"/>
        </w:rPr>
        <w:t xml:space="preserve">EFFICIENCY OF JUSTICE  </w:t>
      </w:r>
    </w:p>
    <w:tbl>
      <w:tblPr>
        <w:tblW w:w="270" w:type="dxa"/>
        <w:shd w:val="clear" w:color="auto" w:fill="FFFFFF"/>
        <w:tblCellMar>
          <w:left w:w="0" w:type="dxa"/>
          <w:right w:w="0" w:type="dxa"/>
        </w:tblCellMar>
        <w:tblLook w:val="04A0" w:firstRow="1" w:lastRow="0" w:firstColumn="1" w:lastColumn="0" w:noHBand="0" w:noVBand="1"/>
      </w:tblPr>
      <w:tblGrid>
        <w:gridCol w:w="270"/>
      </w:tblGrid>
      <w:tr w:rsidR="001002FD" w:rsidRPr="00BA1AE2" w14:paraId="4D8CABCD" w14:textId="77777777" w:rsidTr="00BB4A0D">
        <w:tc>
          <w:tcPr>
            <w:tcW w:w="270" w:type="dxa"/>
            <w:tcBorders>
              <w:top w:val="nil"/>
              <w:left w:val="nil"/>
              <w:bottom w:val="nil"/>
              <w:right w:val="nil"/>
            </w:tcBorders>
            <w:shd w:val="clear" w:color="auto" w:fill="FFFFFF"/>
            <w:vAlign w:val="center"/>
            <w:hideMark/>
          </w:tcPr>
          <w:p w14:paraId="51769706" w14:textId="77777777" w:rsidR="001002FD" w:rsidRPr="007C4EF6" w:rsidRDefault="001002FD" w:rsidP="00BB4A0D">
            <w:pPr>
              <w:rPr>
                <w:rFonts w:ascii="Open Sans" w:hAnsi="Open Sans" w:cs="Open Sans"/>
                <w:color w:val="333333"/>
                <w:lang w:val="en-GB"/>
              </w:rPr>
            </w:pPr>
          </w:p>
        </w:tc>
      </w:tr>
      <w:tr w:rsidR="001002FD" w14:paraId="47049C4F" w14:textId="77777777" w:rsidTr="00BB4A0D">
        <w:tc>
          <w:tcPr>
            <w:tcW w:w="0" w:type="auto"/>
            <w:shd w:val="clear" w:color="auto" w:fill="FFFFFF"/>
            <w:vAlign w:val="center"/>
            <w:hideMark/>
          </w:tcPr>
          <w:p w14:paraId="28A7C385" w14:textId="77777777" w:rsidR="001002FD" w:rsidRDefault="001002FD" w:rsidP="00BB4A0D"/>
        </w:tc>
      </w:tr>
    </w:tbl>
    <w:p w14:paraId="16ED581F" w14:textId="77777777" w:rsidR="001002FD" w:rsidRDefault="001002FD" w:rsidP="001002FD">
      <w:pPr>
        <w:pStyle w:val="Heading1"/>
        <w:spacing w:before="0"/>
        <w:rPr>
          <w:rFonts w:asciiTheme="minorHAnsi" w:eastAsiaTheme="minorEastAsia" w:hAnsiTheme="minorHAnsi" w:cstheme="minorHAnsi"/>
          <w:color w:val="161616"/>
          <w:sz w:val="20"/>
          <w:szCs w:val="20"/>
          <w:lang w:val="en-GB"/>
        </w:rPr>
      </w:pPr>
    </w:p>
    <w:p w14:paraId="2A5A5370" w14:textId="77777777" w:rsidR="001002FD" w:rsidRPr="00BA1AE2" w:rsidRDefault="001002FD" w:rsidP="001002FD">
      <w:pPr>
        <w:spacing w:line="259" w:lineRule="auto"/>
        <w:jc w:val="both"/>
        <w:rPr>
          <w:rFonts w:cstheme="minorHAnsi"/>
          <w:lang w:val="en-GB"/>
        </w:rPr>
      </w:pPr>
      <w:r w:rsidRPr="002300F1">
        <w:rPr>
          <w:rFonts w:cstheme="minorHAnsi"/>
          <w:u w:val="single"/>
          <w:lang w:val="en-GB"/>
        </w:rPr>
        <w:t>Altius Insurance LTD</w:t>
      </w:r>
      <w:r w:rsidRPr="002300F1">
        <w:rPr>
          <w:rFonts w:cstheme="minorHAnsi"/>
          <w:lang w:val="en-GB"/>
        </w:rPr>
        <w:t xml:space="preserve"> (41151/20) </w:t>
      </w:r>
      <w:r>
        <w:rPr>
          <w:rFonts w:cstheme="minorHAnsi"/>
          <w:lang w:val="en-GB"/>
        </w:rPr>
        <w:t xml:space="preserve">(ENHA): </w:t>
      </w:r>
      <w:r w:rsidRPr="002300F1">
        <w:rPr>
          <w:rFonts w:cstheme="minorHAnsi"/>
          <w:lang w:val="en-GB"/>
        </w:rPr>
        <w:t>This case concerns the excessive length of civil proceedings in 2004-2017 and the effectiveness of the existing remedies in this respect (violations of Articles 6 § 1 and 13 of the Convention).</w:t>
      </w:r>
    </w:p>
    <w:p w14:paraId="663FAFAD" w14:textId="77777777" w:rsidR="001002FD" w:rsidRPr="00BA1AE2" w:rsidRDefault="001002FD" w:rsidP="001002FD">
      <w:pPr>
        <w:spacing w:line="259" w:lineRule="auto"/>
        <w:jc w:val="both"/>
        <w:rPr>
          <w:rFonts w:cstheme="minorHAnsi"/>
          <w:lang w:val="en-GB"/>
        </w:rPr>
      </w:pPr>
      <w:r w:rsidRPr="00BA1AE2">
        <w:rPr>
          <w:rFonts w:cstheme="minorHAnsi"/>
          <w:lang w:val="en-GB"/>
        </w:rPr>
        <w:t>Presentation on H</w:t>
      </w:r>
      <w:r>
        <w:rPr>
          <w:rFonts w:cstheme="minorHAnsi"/>
          <w:lang w:val="en-GB"/>
        </w:rPr>
        <w:t>UDOC-Exec</w:t>
      </w:r>
      <w:r w:rsidRPr="00BA1AE2">
        <w:rPr>
          <w:rFonts w:cstheme="minorHAnsi"/>
          <w:lang w:val="en-GB"/>
        </w:rPr>
        <w:t xml:space="preserve">: </w:t>
      </w:r>
      <w:r w:rsidR="00000000">
        <w:fldChar w:fldCharType="begin"/>
      </w:r>
      <w:r w:rsidR="00000000" w:rsidRPr="00EE74B4">
        <w:rPr>
          <w:lang w:val="en-US"/>
        </w:rPr>
        <w:instrText>HYPERLINK "https://hudoc.exec.coe.int/eng?i=004-65235"</w:instrText>
      </w:r>
      <w:r w:rsidR="00000000">
        <w:fldChar w:fldCharType="separate"/>
      </w:r>
      <w:r>
        <w:rPr>
          <w:rFonts w:cstheme="minorHAnsi"/>
          <w:color w:val="0000FF"/>
          <w:u w:val="single"/>
          <w:lang w:val="en-GB"/>
        </w:rPr>
        <w:t xml:space="preserve">Altius Insurance LTD </w:t>
      </w:r>
      <w:r w:rsidR="00000000">
        <w:rPr>
          <w:rFonts w:cstheme="minorHAnsi"/>
          <w:color w:val="0000FF"/>
          <w:u w:val="single"/>
          <w:lang w:val="en-GB"/>
        </w:rPr>
        <w:fldChar w:fldCharType="end"/>
      </w:r>
    </w:p>
    <w:p w14:paraId="34435E55" w14:textId="77777777" w:rsidR="001002FD" w:rsidRPr="00BA1AE2" w:rsidRDefault="00000000" w:rsidP="001002FD">
      <w:pPr>
        <w:spacing w:line="259" w:lineRule="auto"/>
        <w:jc w:val="both"/>
        <w:rPr>
          <w:rFonts w:cstheme="minorHAnsi"/>
          <w:lang w:val="en-GB"/>
        </w:rPr>
      </w:pPr>
      <w:r>
        <w:lastRenderedPageBreak/>
        <w:fldChar w:fldCharType="begin"/>
      </w:r>
      <w:r w:rsidRPr="00EE74B4">
        <w:rPr>
          <w:lang w:val="en-US"/>
        </w:rPr>
        <w:instrText>HYPERLINK "https://hudoc.exec.coe.int/FRE" \l "{%22fulltext%22:[%22McFarlane%22],%22display%22:[2],%22EXECIdentifier%22:[%22CM/Del/Dec(2020)1383/H46-10E%22]}"</w:instrText>
      </w:r>
      <w:r>
        <w:fldChar w:fldCharType="separate"/>
      </w:r>
      <w:r w:rsidR="001002FD" w:rsidRPr="00BA1AE2">
        <w:rPr>
          <w:rFonts w:cstheme="minorHAnsi"/>
          <w:lang w:val="en-GB"/>
        </w:rPr>
        <w:t>Latest decisions</w:t>
      </w:r>
      <w:r>
        <w:rPr>
          <w:rFonts w:cstheme="minorHAnsi"/>
          <w:lang w:val="en-GB"/>
        </w:rPr>
        <w:fldChar w:fldCharType="end"/>
      </w:r>
      <w:r w:rsidR="001002FD" w:rsidRPr="00BA1AE2">
        <w:rPr>
          <w:rFonts w:cstheme="minorHAnsi"/>
          <w:lang w:val="en-GB"/>
        </w:rPr>
        <w:t>:</w:t>
      </w:r>
      <w:r w:rsidR="001002FD">
        <w:rPr>
          <w:rFonts w:cstheme="minorHAnsi"/>
          <w:lang w:val="en-GB"/>
        </w:rPr>
        <w:t xml:space="preserve">  the case is proposed for examination at the </w:t>
      </w:r>
      <w:r>
        <w:fldChar w:fldCharType="begin"/>
      </w:r>
      <w:r w:rsidRPr="00EE74B4">
        <w:rPr>
          <w:lang w:val="en-US"/>
        </w:rPr>
        <w:instrText>HYPERLINK "https://rm.coe.int/indicative-work-programme-2025/1680b2bd0e"</w:instrText>
      </w:r>
      <w:r>
        <w:fldChar w:fldCharType="separate"/>
      </w:r>
      <w:r w:rsidR="001002FD" w:rsidRPr="005F55A3">
        <w:rPr>
          <w:rStyle w:val="Hyperlink"/>
          <w:rFonts w:cstheme="minorHAnsi"/>
          <w:lang w:val="en-GB"/>
        </w:rPr>
        <w:t>December 2025 CMDH</w:t>
      </w:r>
      <w:r>
        <w:rPr>
          <w:rStyle w:val="Hyperlink"/>
          <w:rFonts w:cstheme="minorHAnsi"/>
          <w:lang w:val="en-GB"/>
        </w:rPr>
        <w:fldChar w:fldCharType="end"/>
      </w:r>
      <w:r w:rsidR="001002FD">
        <w:rPr>
          <w:rFonts w:cstheme="minorHAnsi"/>
          <w:lang w:val="en-GB"/>
        </w:rPr>
        <w:t xml:space="preserve"> meeting.</w:t>
      </w:r>
    </w:p>
    <w:p w14:paraId="1786BE98" w14:textId="77777777" w:rsidR="001002FD" w:rsidRDefault="001002FD" w:rsidP="001002FD">
      <w:pPr>
        <w:spacing w:line="259" w:lineRule="auto"/>
        <w:jc w:val="both"/>
        <w:rPr>
          <w:rFonts w:cstheme="minorHAnsi"/>
          <w:lang w:val="en-GB"/>
        </w:rPr>
      </w:pPr>
      <w:r w:rsidRPr="00BA1AE2">
        <w:rPr>
          <w:rFonts w:cstheme="minorHAnsi"/>
          <w:lang w:val="en-GB"/>
        </w:rPr>
        <w:t xml:space="preserve">Latest submissions: </w:t>
      </w:r>
      <w:hyperlink r:id="rId16" w:history="1">
        <w:r>
          <w:rPr>
            <w:rStyle w:val="Hyperlink"/>
            <w:rFonts w:cstheme="minorHAnsi"/>
            <w:lang w:val="en-GB"/>
          </w:rPr>
          <w:t>DH-</w:t>
        </w:r>
        <w:proofErr w:type="gramStart"/>
        <w:r>
          <w:rPr>
            <w:rStyle w:val="Hyperlink"/>
            <w:rFonts w:cstheme="minorHAnsi"/>
            <w:lang w:val="en-GB"/>
          </w:rPr>
          <w:t>DD(</w:t>
        </w:r>
        <w:proofErr w:type="gramEnd"/>
        <w:r>
          <w:rPr>
            <w:rStyle w:val="Hyperlink"/>
            <w:rFonts w:cstheme="minorHAnsi"/>
            <w:lang w:val="en-GB"/>
          </w:rPr>
          <w:t>2024)1279</w:t>
        </w:r>
      </w:hyperlink>
      <w:r w:rsidRPr="00BA1AE2">
        <w:rPr>
          <w:rFonts w:cstheme="minorHAnsi"/>
          <w:lang w:val="en-GB"/>
        </w:rPr>
        <w:t xml:space="preserve"> </w:t>
      </w:r>
    </w:p>
    <w:p w14:paraId="274A8D49" w14:textId="77777777" w:rsidR="001002FD" w:rsidRDefault="001002FD" w:rsidP="001002FD">
      <w:pPr>
        <w:pStyle w:val="xmsonormal"/>
        <w:spacing w:after="60"/>
        <w:jc w:val="both"/>
        <w:rPr>
          <w:lang w:val="en-GB"/>
        </w:rPr>
      </w:pPr>
    </w:p>
    <w:p w14:paraId="691B5932" w14:textId="77777777" w:rsidR="001002FD" w:rsidRDefault="001002FD">
      <w:pPr>
        <w:rPr>
          <w:rFonts w:cs="Arial"/>
          <w:color w:val="FFFFFF" w:themeColor="background1"/>
          <w:sz w:val="22"/>
          <w:szCs w:val="22"/>
          <w:shd w:val="clear" w:color="auto" w:fill="1F3864" w:themeFill="accent1" w:themeFillShade="80"/>
          <w:lang w:val="en-US"/>
        </w:rPr>
      </w:pPr>
    </w:p>
    <w:p w14:paraId="1E46C97F" w14:textId="77777777" w:rsidR="00081883" w:rsidRDefault="00081883" w:rsidP="00081883">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081883">
        <w:rPr>
          <w:rFonts w:ascii="Calibri Light" w:eastAsia="Times New Roman" w:hAnsi="Calibri Light" w:cs="Calibri Light"/>
          <w:color w:val="2F5496"/>
          <w:kern w:val="36"/>
          <w:sz w:val="32"/>
          <w:szCs w:val="32"/>
          <w:lang w:val="en-US"/>
        </w:rPr>
        <w:t>II Anti-corruption framework</w:t>
      </w:r>
      <w:bookmarkEnd w:id="3"/>
      <w:r w:rsidRPr="00081883">
        <w:rPr>
          <w:rFonts w:ascii="Calibri Light" w:eastAsia="Times New Roman" w:hAnsi="Calibri Light" w:cs="Calibri Light"/>
          <w:color w:val="2F5496"/>
          <w:kern w:val="36"/>
          <w:sz w:val="32"/>
          <w:szCs w:val="32"/>
          <w:lang w:val="en-US"/>
        </w:rPr>
        <w:t xml:space="preserve"> </w:t>
      </w:r>
    </w:p>
    <w:p w14:paraId="5652503A" w14:textId="77777777" w:rsidR="004307CB" w:rsidRPr="00081883" w:rsidRDefault="004307CB" w:rsidP="00081883">
      <w:pPr>
        <w:keepNext/>
        <w:spacing w:before="320"/>
        <w:outlineLvl w:val="0"/>
        <w:rPr>
          <w:rFonts w:ascii="Calibri Light" w:eastAsia="Times New Roman" w:hAnsi="Calibri Light" w:cs="Calibri Light"/>
          <w:color w:val="2F5496"/>
          <w:kern w:val="36"/>
          <w:sz w:val="32"/>
          <w:szCs w:val="32"/>
          <w:lang w:val="en-US"/>
        </w:rPr>
      </w:pPr>
    </w:p>
    <w:p w14:paraId="1A09F5A1" w14:textId="77777777" w:rsidR="004A3075" w:rsidRDefault="004A3075" w:rsidP="004A3075">
      <w:pPr>
        <w:rPr>
          <w:lang w:val="en-US"/>
        </w:rPr>
      </w:pPr>
      <w:r>
        <w:rPr>
          <w:lang w:val="en-US"/>
        </w:rPr>
        <w:t>GRECO (9 January 2024)</w:t>
      </w:r>
    </w:p>
    <w:p w14:paraId="0B20DB43" w14:textId="77777777" w:rsidR="004A3075" w:rsidRDefault="00000000" w:rsidP="004A3075">
      <w:pPr>
        <w:rPr>
          <w:lang w:val="en-US"/>
        </w:rPr>
      </w:pPr>
      <w:hyperlink r:id="rId17" w:history="1">
        <w:r w:rsidR="004A3075" w:rsidRPr="0066239C">
          <w:rPr>
            <w:rStyle w:val="Hyperlink"/>
            <w:lang w:val="en-US"/>
          </w:rPr>
          <w:t>Second Addendum to the Second Compliance Report</w:t>
        </w:r>
      </w:hyperlink>
      <w:r w:rsidR="004A3075">
        <w:rPr>
          <w:lang w:val="en-US"/>
        </w:rPr>
        <w:t xml:space="preserve"> </w:t>
      </w:r>
    </w:p>
    <w:p w14:paraId="06884E8B" w14:textId="77777777" w:rsidR="004A3075" w:rsidRDefault="004A3075" w:rsidP="004A3075">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4051D050" w14:textId="77777777" w:rsidR="004307CB" w:rsidRDefault="004307CB" w:rsidP="004A3075">
      <w:pPr>
        <w:rPr>
          <w:lang w:val="en-GB"/>
        </w:rPr>
      </w:pPr>
    </w:p>
    <w:p w14:paraId="3869AD3D" w14:textId="77777777" w:rsidR="004307CB" w:rsidRDefault="004307CB" w:rsidP="004A3075">
      <w:pPr>
        <w:rPr>
          <w:lang w:val="en-GB"/>
        </w:rPr>
      </w:pPr>
    </w:p>
    <w:p w14:paraId="185BCD94" w14:textId="77777777" w:rsidR="004307CB" w:rsidRDefault="004307CB" w:rsidP="004A3075">
      <w:pPr>
        <w:rPr>
          <w:lang w:val="en-GB"/>
        </w:rPr>
      </w:pPr>
    </w:p>
    <w:p w14:paraId="01D63D2F" w14:textId="77777777" w:rsidR="004307CB" w:rsidRPr="0066239C" w:rsidRDefault="004307CB" w:rsidP="004A3075">
      <w:pPr>
        <w:rPr>
          <w:lang w:val="en-GB"/>
        </w:rPr>
      </w:pPr>
    </w:p>
    <w:p w14:paraId="2EDC9930" w14:textId="77777777" w:rsidR="004307CB" w:rsidRDefault="004307CB" w:rsidP="004307CB">
      <w:pPr>
        <w:pStyle w:val="NoSpacing"/>
        <w:rPr>
          <w:lang w:val="en-GB"/>
        </w:rPr>
      </w:pPr>
      <w:r>
        <w:rPr>
          <w:lang w:val="en-GB"/>
        </w:rPr>
        <w:t xml:space="preserve">MONEYVAL </w:t>
      </w:r>
    </w:p>
    <w:p w14:paraId="5FED914A" w14:textId="77777777" w:rsidR="004307CB" w:rsidRDefault="00000000" w:rsidP="004307CB">
      <w:pPr>
        <w:pStyle w:val="NoSpacing"/>
        <w:rPr>
          <w:lang w:val="en-GB"/>
        </w:rPr>
      </w:pPr>
      <w:hyperlink r:id="rId18" w:history="1">
        <w:r w:rsidR="004307CB" w:rsidRPr="00AE5A3A">
          <w:rPr>
            <w:rStyle w:val="Hyperlink"/>
            <w:lang w:val="en-GB"/>
          </w:rPr>
          <w:t>3</w:t>
        </w:r>
        <w:r w:rsidR="004307CB" w:rsidRPr="00AE5A3A">
          <w:rPr>
            <w:rStyle w:val="Hyperlink"/>
            <w:vertAlign w:val="superscript"/>
            <w:lang w:val="en-GB"/>
          </w:rPr>
          <w:t>rd</w:t>
        </w:r>
        <w:r w:rsidR="004307CB" w:rsidRPr="00AE5A3A">
          <w:rPr>
            <w:rStyle w:val="Hyperlink"/>
            <w:lang w:val="en-GB"/>
          </w:rPr>
          <w:t xml:space="preserve"> Enhanced Follow-Up Report &amp; Technical Compliance Re-Rating</w:t>
        </w:r>
      </w:hyperlink>
      <w:r w:rsidR="004307CB">
        <w:rPr>
          <w:lang w:val="en-GB"/>
        </w:rPr>
        <w:t xml:space="preserve"> (December 2023)</w:t>
      </w:r>
    </w:p>
    <w:p w14:paraId="37EBAF55" w14:textId="77777777" w:rsidR="004307CB" w:rsidRDefault="004307CB" w:rsidP="004307CB">
      <w:pPr>
        <w:pStyle w:val="NoSpacing"/>
        <w:rPr>
          <w:lang w:val="en-GB"/>
        </w:rPr>
      </w:pPr>
    </w:p>
    <w:p w14:paraId="67B2157C" w14:textId="77777777" w:rsidR="004307CB" w:rsidRPr="001002FD" w:rsidRDefault="004307CB" w:rsidP="004307CB">
      <w:pPr>
        <w:pStyle w:val="NoSpacing"/>
        <w:rPr>
          <w:lang w:val="it-IT"/>
        </w:rPr>
      </w:pPr>
      <w:r w:rsidRPr="001002FD">
        <w:rPr>
          <w:lang w:val="it-IT"/>
        </w:rPr>
        <w:t xml:space="preserve">COP 198 </w:t>
      </w:r>
    </w:p>
    <w:p w14:paraId="35EF2C6F" w14:textId="77777777" w:rsidR="004307CB" w:rsidRPr="001002FD" w:rsidRDefault="004307CB" w:rsidP="004307CB">
      <w:pPr>
        <w:pStyle w:val="NoSpacing"/>
        <w:rPr>
          <w:lang w:val="it-IT"/>
        </w:rPr>
      </w:pPr>
      <w:r w:rsidRPr="001002FD">
        <w:rPr>
          <w:lang w:val="it-IT"/>
        </w:rPr>
        <w:t>N/A</w:t>
      </w:r>
    </w:p>
    <w:p w14:paraId="1CACD66B" w14:textId="77777777" w:rsidR="00081883" w:rsidRPr="001002FD" w:rsidRDefault="00081883" w:rsidP="00081883">
      <w:pPr>
        <w:keepNext/>
        <w:spacing w:before="320"/>
        <w:outlineLvl w:val="0"/>
        <w:rPr>
          <w:rFonts w:ascii="Calibri Light" w:eastAsia="Times New Roman" w:hAnsi="Calibri Light" w:cs="Calibri Light"/>
          <w:color w:val="2F5496"/>
          <w:kern w:val="36"/>
          <w:sz w:val="32"/>
          <w:szCs w:val="32"/>
          <w:lang w:val="it-IT"/>
        </w:rPr>
      </w:pPr>
    </w:p>
    <w:p w14:paraId="2DAA9313" w14:textId="77777777" w:rsidR="00081883" w:rsidRPr="001002FD" w:rsidRDefault="00081883" w:rsidP="00081883">
      <w:pPr>
        <w:keepNext/>
        <w:spacing w:before="320"/>
        <w:outlineLvl w:val="0"/>
        <w:rPr>
          <w:rFonts w:ascii="Calibri Light" w:eastAsia="Times New Roman" w:hAnsi="Calibri Light" w:cs="Calibri Light"/>
          <w:color w:val="2F5496"/>
          <w:kern w:val="36"/>
          <w:sz w:val="32"/>
          <w:szCs w:val="32"/>
          <w:lang w:val="it-IT"/>
        </w:rPr>
      </w:pPr>
    </w:p>
    <w:p w14:paraId="03D90F55" w14:textId="77777777" w:rsidR="00081883" w:rsidRPr="001002FD" w:rsidRDefault="00081883" w:rsidP="00081883">
      <w:pPr>
        <w:keepNext/>
        <w:spacing w:before="320"/>
        <w:outlineLvl w:val="0"/>
        <w:rPr>
          <w:rFonts w:ascii="Calibri Light" w:eastAsia="Times New Roman" w:hAnsi="Calibri Light" w:cs="Calibri Light"/>
          <w:color w:val="2F5496"/>
          <w:kern w:val="36"/>
          <w:sz w:val="32"/>
          <w:szCs w:val="32"/>
          <w:lang w:val="it-IT"/>
        </w:rPr>
      </w:pPr>
    </w:p>
    <w:p w14:paraId="392DD1AC" w14:textId="77777777" w:rsidR="00081883" w:rsidRPr="001002FD" w:rsidRDefault="00081883" w:rsidP="00081883">
      <w:pPr>
        <w:keepNext/>
        <w:spacing w:before="320"/>
        <w:outlineLvl w:val="0"/>
        <w:rPr>
          <w:rFonts w:ascii="Calibri Light" w:eastAsia="Times New Roman" w:hAnsi="Calibri Light" w:cs="Calibri Light"/>
          <w:color w:val="2F5496"/>
          <w:kern w:val="36"/>
          <w:sz w:val="32"/>
          <w:szCs w:val="32"/>
          <w:lang w:val="it-IT"/>
        </w:rPr>
      </w:pPr>
      <w:bookmarkStart w:id="4" w:name="_Toc36635845"/>
      <w:r w:rsidRPr="001002FD">
        <w:rPr>
          <w:rFonts w:ascii="Calibri Light" w:eastAsia="Times New Roman" w:hAnsi="Calibri Light" w:cs="Calibri Light"/>
          <w:color w:val="2F5496"/>
          <w:kern w:val="36"/>
          <w:sz w:val="32"/>
          <w:szCs w:val="32"/>
          <w:lang w:val="it-IT"/>
        </w:rPr>
        <w:t>III Media pluralism</w:t>
      </w:r>
      <w:bookmarkEnd w:id="4"/>
      <w:r w:rsidRPr="001002FD">
        <w:rPr>
          <w:rFonts w:ascii="Calibri Light" w:eastAsia="Times New Roman" w:hAnsi="Calibri Light" w:cs="Calibri Light"/>
          <w:color w:val="2F5496"/>
          <w:kern w:val="36"/>
          <w:sz w:val="32"/>
          <w:szCs w:val="32"/>
          <w:lang w:val="it-IT"/>
        </w:rPr>
        <w:t xml:space="preserve"> </w:t>
      </w:r>
    </w:p>
    <w:p w14:paraId="2DD18A41" w14:textId="77777777" w:rsidR="00081883" w:rsidRPr="001002FD" w:rsidRDefault="00081883" w:rsidP="00081883">
      <w:pPr>
        <w:keepNext/>
        <w:spacing w:before="320"/>
        <w:outlineLvl w:val="0"/>
        <w:rPr>
          <w:rFonts w:ascii="Calibri Light" w:eastAsia="Times New Roman" w:hAnsi="Calibri Light" w:cs="Calibri Light"/>
          <w:color w:val="2F5496"/>
          <w:kern w:val="36"/>
          <w:sz w:val="32"/>
          <w:szCs w:val="32"/>
          <w:lang w:val="it-IT"/>
        </w:rPr>
      </w:pPr>
    </w:p>
    <w:p w14:paraId="5AB1A020" w14:textId="77777777" w:rsidR="00081883" w:rsidRPr="001002FD" w:rsidRDefault="00081883" w:rsidP="00081883">
      <w:pPr>
        <w:keepNext/>
        <w:spacing w:before="320"/>
        <w:outlineLvl w:val="0"/>
        <w:rPr>
          <w:rFonts w:ascii="Calibri Light" w:eastAsia="Times New Roman" w:hAnsi="Calibri Light" w:cs="Calibri Light"/>
          <w:color w:val="2F5496"/>
          <w:kern w:val="36"/>
          <w:sz w:val="32"/>
          <w:szCs w:val="32"/>
          <w:lang w:val="it-IT"/>
        </w:rPr>
      </w:pPr>
    </w:p>
    <w:p w14:paraId="6B58D486" w14:textId="77777777" w:rsidR="00081883" w:rsidRPr="00081883" w:rsidRDefault="00081883" w:rsidP="00081883">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081883">
        <w:rPr>
          <w:rFonts w:ascii="Calibri Light" w:eastAsia="Times New Roman" w:hAnsi="Calibri Light" w:cs="Calibri Light"/>
          <w:color w:val="2F5496"/>
          <w:kern w:val="36"/>
          <w:sz w:val="32"/>
          <w:szCs w:val="32"/>
          <w:lang w:val="en-US"/>
        </w:rPr>
        <w:t>IV Other institutional issues related to checks and balances</w:t>
      </w:r>
      <w:bookmarkEnd w:id="5"/>
      <w:r w:rsidRPr="00081883">
        <w:rPr>
          <w:rFonts w:ascii="Calibri Light" w:eastAsia="Times New Roman" w:hAnsi="Calibri Light" w:cs="Calibri Light"/>
          <w:color w:val="2F5496"/>
          <w:kern w:val="36"/>
          <w:sz w:val="32"/>
          <w:szCs w:val="32"/>
          <w:lang w:val="en-US"/>
        </w:rPr>
        <w:t xml:space="preserve"> </w:t>
      </w:r>
    </w:p>
    <w:p w14:paraId="3C7B2F4B" w14:textId="77777777" w:rsidR="00081883" w:rsidRDefault="00081883">
      <w:pPr>
        <w:rPr>
          <w:rFonts w:cs="Arial"/>
          <w:color w:val="FFFFFF" w:themeColor="background1"/>
          <w:sz w:val="22"/>
          <w:szCs w:val="22"/>
          <w:shd w:val="clear" w:color="auto" w:fill="1F3864" w:themeFill="accent1" w:themeFillShade="80"/>
          <w:lang w:val="en-US"/>
        </w:rPr>
      </w:pPr>
    </w:p>
    <w:p w14:paraId="132B3C8E" w14:textId="5A18F116" w:rsidR="00EE74B4" w:rsidRDefault="00EE74B4" w:rsidP="00EE74B4">
      <w:pPr>
        <w:jc w:val="both"/>
        <w:rPr>
          <w:lang w:val="en-US"/>
        </w:rPr>
      </w:pPr>
      <w:r w:rsidRPr="00D3381E">
        <w:rPr>
          <w:lang w:val="en-US"/>
        </w:rPr>
        <w:t>National Preventive Mechanism (NPM)</w:t>
      </w:r>
    </w:p>
    <w:p w14:paraId="41937832" w14:textId="77777777" w:rsidR="00EE74B4" w:rsidRDefault="00EE74B4" w:rsidP="00EE74B4">
      <w:pPr>
        <w:jc w:val="both"/>
        <w:rPr>
          <w:lang w:val="en-US"/>
        </w:rPr>
      </w:pPr>
    </w:p>
    <w:p w14:paraId="12A799DE" w14:textId="7CBEDF8F" w:rsidR="00EE74B4" w:rsidRDefault="00EE74B4" w:rsidP="00EE74B4">
      <w:pPr>
        <w:jc w:val="both"/>
        <w:rPr>
          <w:lang w:val="en-US"/>
        </w:rPr>
      </w:pPr>
      <w:r w:rsidRPr="00D3381E">
        <w:rPr>
          <w:lang w:val="en-US"/>
        </w:rPr>
        <w:t xml:space="preserve">In its ongoing efforts to support Cyprus in strengthening its National Preventive Mechanism (NPM), the Council of Europe (CoE) </w:t>
      </w:r>
      <w:r>
        <w:rPr>
          <w:lang w:val="en-US"/>
        </w:rPr>
        <w:t>is</w:t>
      </w:r>
      <w:r w:rsidRPr="00D3381E">
        <w:rPr>
          <w:lang w:val="en-US"/>
        </w:rPr>
        <w:t xml:space="preserve"> providing guidance and technical assistance</w:t>
      </w:r>
      <w:r>
        <w:rPr>
          <w:lang w:val="en-US"/>
        </w:rPr>
        <w:t xml:space="preserve"> through a joint EU-CoE project </w:t>
      </w:r>
      <w:r w:rsidRPr="00D3381E">
        <w:rPr>
          <w:lang w:val="en-GB"/>
        </w:rPr>
        <w:t>“Technical Support for More Effective and Resilient National Preventive Mechanisms (NPM)”</w:t>
      </w:r>
      <w:r w:rsidRPr="00D3381E">
        <w:rPr>
          <w:lang w:val="en-US"/>
        </w:rPr>
        <w:t xml:space="preserve">. </w:t>
      </w:r>
    </w:p>
    <w:p w14:paraId="42C6A6AD" w14:textId="77777777" w:rsidR="00EE74B4" w:rsidRDefault="00EE74B4" w:rsidP="00EE74B4">
      <w:pPr>
        <w:jc w:val="both"/>
        <w:rPr>
          <w:lang w:val="en-US"/>
        </w:rPr>
      </w:pPr>
    </w:p>
    <w:p w14:paraId="59F50A32" w14:textId="77777777" w:rsidR="00EE74B4" w:rsidRPr="00D3381E" w:rsidRDefault="00EE74B4" w:rsidP="00EE74B4">
      <w:pPr>
        <w:jc w:val="both"/>
        <w:rPr>
          <w:lang w:val="en-US"/>
        </w:rPr>
      </w:pPr>
      <w:r w:rsidRPr="00D3381E">
        <w:rPr>
          <w:lang w:val="en-US"/>
        </w:rPr>
        <w:t>Under the Optional Protocol to the UN Convention Against Torture (OPCAT), states are required to establish independent NPMs to monitor places of deprivation of liberty and prevent ill-treatment. Cyprus has designated the Commissioner for Administration and the Protection of Human Rights (Ombudsman) as its NPM. However, significant gaps remain, particularly in monitoring police detention, immigration detention centres, psychiatric institutions, and social care homes.</w:t>
      </w:r>
    </w:p>
    <w:p w14:paraId="289507B7" w14:textId="77777777" w:rsidR="00EE74B4" w:rsidRPr="00D3381E" w:rsidRDefault="00EE74B4" w:rsidP="00EE74B4">
      <w:pPr>
        <w:jc w:val="both"/>
        <w:rPr>
          <w:lang w:val="en-US"/>
        </w:rPr>
      </w:pPr>
    </w:p>
    <w:p w14:paraId="7855D25E" w14:textId="77777777" w:rsidR="00EE74B4" w:rsidRPr="00D3381E" w:rsidRDefault="00EE74B4" w:rsidP="00EE74B4">
      <w:pPr>
        <w:jc w:val="both"/>
        <w:rPr>
          <w:lang w:val="en-US"/>
        </w:rPr>
      </w:pPr>
      <w:r w:rsidRPr="00D3381E">
        <w:rPr>
          <w:lang w:val="en-US"/>
        </w:rPr>
        <w:lastRenderedPageBreak/>
        <w:t>A recent report by the Co</w:t>
      </w:r>
      <w:r>
        <w:rPr>
          <w:lang w:val="en-US"/>
        </w:rPr>
        <w:t>uncil of Europe</w:t>
      </w:r>
      <w:r w:rsidRPr="00D3381E">
        <w:rPr>
          <w:lang w:val="en-US"/>
        </w:rPr>
        <w:t xml:space="preserve"> Committee for the Prevention of Torture (CPT) following its 2023 visit to Cyprus identified several concerns related to the treatment of persons in detention, particularly migrants. The situation has worsened since the CPT's previous visit in 2017, underscoring the need for a more robust monitoring and follow-up framework for the NPM’s work. Currently, the Cypriot NPM </w:t>
      </w:r>
      <w:r>
        <w:rPr>
          <w:lang w:val="en-US"/>
        </w:rPr>
        <w:t>requires reinforced</w:t>
      </w:r>
      <w:r w:rsidRPr="00D3381E">
        <w:rPr>
          <w:lang w:val="en-US"/>
        </w:rPr>
        <w:t xml:space="preserve"> mechanisms to ensure its recommendations are implemented, hampering its effectiveness.</w:t>
      </w:r>
    </w:p>
    <w:p w14:paraId="0F7446A7" w14:textId="77777777" w:rsidR="00EE74B4" w:rsidRPr="00D3381E" w:rsidRDefault="00EE74B4" w:rsidP="00EE74B4">
      <w:pPr>
        <w:jc w:val="both"/>
        <w:rPr>
          <w:lang w:val="en-US"/>
        </w:rPr>
      </w:pPr>
    </w:p>
    <w:p w14:paraId="7AC73AB9" w14:textId="77777777" w:rsidR="00EE74B4" w:rsidRPr="00D3381E" w:rsidRDefault="00EE74B4" w:rsidP="00EE74B4">
      <w:pPr>
        <w:jc w:val="both"/>
        <w:rPr>
          <w:lang w:val="en-US"/>
        </w:rPr>
      </w:pPr>
      <w:r w:rsidRPr="00D3381E">
        <w:rPr>
          <w:lang w:val="en-US"/>
        </w:rPr>
        <w:t xml:space="preserve">Through </w:t>
      </w:r>
      <w:r>
        <w:rPr>
          <w:lang w:val="en-US"/>
        </w:rPr>
        <w:t>the</w:t>
      </w:r>
      <w:r w:rsidRPr="00D3381E">
        <w:rPr>
          <w:lang w:val="en-US"/>
        </w:rPr>
        <w:t xml:space="preserve"> </w:t>
      </w:r>
      <w:r>
        <w:rPr>
          <w:lang w:val="en-US"/>
        </w:rPr>
        <w:t xml:space="preserve">EU co-funded </w:t>
      </w:r>
      <w:r w:rsidRPr="00D3381E">
        <w:rPr>
          <w:lang w:val="en-US"/>
        </w:rPr>
        <w:t>project</w:t>
      </w:r>
      <w:r>
        <w:rPr>
          <w:lang w:val="en-US"/>
        </w:rPr>
        <w:t xml:space="preserve"> initiated in 2024</w:t>
      </w:r>
      <w:r w:rsidRPr="00D3381E">
        <w:rPr>
          <w:lang w:val="en-US"/>
        </w:rPr>
        <w:t>, the Co</w:t>
      </w:r>
      <w:r>
        <w:rPr>
          <w:lang w:val="en-US"/>
        </w:rPr>
        <w:t xml:space="preserve">E will </w:t>
      </w:r>
      <w:r w:rsidRPr="00D3381E">
        <w:rPr>
          <w:lang w:val="en-US"/>
        </w:rPr>
        <w:t>focus on capacity building and developing operational instruments for the Cypriot NPM. This includes speciali</w:t>
      </w:r>
      <w:r>
        <w:rPr>
          <w:lang w:val="en-US"/>
        </w:rPr>
        <w:t>s</w:t>
      </w:r>
      <w:r w:rsidRPr="00D3381E">
        <w:rPr>
          <w:lang w:val="en-US"/>
        </w:rPr>
        <w:t xml:space="preserve">ed </w:t>
      </w:r>
      <w:r>
        <w:rPr>
          <w:lang w:val="en-US"/>
        </w:rPr>
        <w:t xml:space="preserve">tools and </w:t>
      </w:r>
      <w:r w:rsidRPr="00D3381E">
        <w:rPr>
          <w:lang w:val="en-US"/>
        </w:rPr>
        <w:t>training in key areas such as immigration, healthcare, and social care institutions. By enhancing the NPM’s ability to follow up on its recommendations and ensuring effective monitoring, the project aims to foster respect for the rights of persons deprived of their liberty.</w:t>
      </w:r>
    </w:p>
    <w:p w14:paraId="15DE77D3" w14:textId="77777777" w:rsidR="00EE74B4" w:rsidRPr="008B6B20" w:rsidRDefault="00EE74B4">
      <w:pPr>
        <w:rPr>
          <w:rFonts w:cs="Arial"/>
          <w:color w:val="FFFFFF" w:themeColor="background1"/>
          <w:sz w:val="22"/>
          <w:szCs w:val="22"/>
          <w:shd w:val="clear" w:color="auto" w:fill="1F3864" w:themeFill="accent1" w:themeFillShade="80"/>
          <w:lang w:val="en-US"/>
        </w:rPr>
      </w:pPr>
    </w:p>
    <w:sectPr w:rsidR="00EE74B4" w:rsidRPr="008B6B20" w:rsidSect="007B3B82">
      <w:footerReference w:type="default" r:id="rId19"/>
      <w:footerReference w:type="firs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FABD" w14:textId="77777777" w:rsidR="00AF69A1" w:rsidRDefault="00AF69A1" w:rsidP="00857FF1">
      <w:r>
        <w:separator/>
      </w:r>
    </w:p>
  </w:endnote>
  <w:endnote w:type="continuationSeparator" w:id="0">
    <w:p w14:paraId="7A8242F4" w14:textId="77777777" w:rsidR="00AF69A1" w:rsidRDefault="00AF69A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FBF39" w14:textId="77777777" w:rsidR="00AF69A1" w:rsidRDefault="00AF69A1" w:rsidP="00857FF1">
      <w:r>
        <w:separator/>
      </w:r>
    </w:p>
  </w:footnote>
  <w:footnote w:type="continuationSeparator" w:id="0">
    <w:p w14:paraId="3E3098F8" w14:textId="77777777" w:rsidR="00AF69A1" w:rsidRDefault="00AF69A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7319EA"/>
    <w:multiLevelType w:val="hybridMultilevel"/>
    <w:tmpl w:val="D610A8EA"/>
    <w:lvl w:ilvl="0" w:tplc="A1107E1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10"/>
  </w:num>
  <w:num w:numId="6" w16cid:durableId="2070767956">
    <w:abstractNumId w:val="5"/>
  </w:num>
  <w:num w:numId="7" w16cid:durableId="1484002443">
    <w:abstractNumId w:val="8"/>
  </w:num>
  <w:num w:numId="8" w16cid:durableId="1293099640">
    <w:abstractNumId w:val="8"/>
  </w:num>
  <w:num w:numId="9" w16cid:durableId="196361223">
    <w:abstractNumId w:val="2"/>
  </w:num>
  <w:num w:numId="10" w16cid:durableId="1182088185">
    <w:abstractNumId w:val="9"/>
  </w:num>
  <w:num w:numId="11" w16cid:durableId="360477782">
    <w:abstractNumId w:val="11"/>
  </w:num>
  <w:num w:numId="12" w16cid:durableId="1540388124">
    <w:abstractNumId w:val="0"/>
  </w:num>
  <w:num w:numId="13" w16cid:durableId="15555807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1883"/>
    <w:rsid w:val="00084C0B"/>
    <w:rsid w:val="00085157"/>
    <w:rsid w:val="00095F4E"/>
    <w:rsid w:val="000A0236"/>
    <w:rsid w:val="000B223F"/>
    <w:rsid w:val="000B4984"/>
    <w:rsid w:val="000C1783"/>
    <w:rsid w:val="000E51C1"/>
    <w:rsid w:val="000F73A4"/>
    <w:rsid w:val="001002FD"/>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B0493"/>
    <w:rsid w:val="001B0B87"/>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64ED"/>
    <w:rsid w:val="00287289"/>
    <w:rsid w:val="002911B3"/>
    <w:rsid w:val="002A4E7E"/>
    <w:rsid w:val="002B2FF2"/>
    <w:rsid w:val="002C5E1B"/>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3D9"/>
    <w:rsid w:val="00424436"/>
    <w:rsid w:val="00424AE6"/>
    <w:rsid w:val="004307CB"/>
    <w:rsid w:val="00434E92"/>
    <w:rsid w:val="00443197"/>
    <w:rsid w:val="00457269"/>
    <w:rsid w:val="00464735"/>
    <w:rsid w:val="00491D94"/>
    <w:rsid w:val="00496B58"/>
    <w:rsid w:val="004A3075"/>
    <w:rsid w:val="004A628B"/>
    <w:rsid w:val="004B2966"/>
    <w:rsid w:val="004B4189"/>
    <w:rsid w:val="004C29C8"/>
    <w:rsid w:val="004C37B3"/>
    <w:rsid w:val="004D38B6"/>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80789"/>
    <w:rsid w:val="00683C6A"/>
    <w:rsid w:val="006871F9"/>
    <w:rsid w:val="006952AF"/>
    <w:rsid w:val="0069684E"/>
    <w:rsid w:val="006B6601"/>
    <w:rsid w:val="006C137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40C74"/>
    <w:rsid w:val="0084267F"/>
    <w:rsid w:val="00857FF1"/>
    <w:rsid w:val="008617BA"/>
    <w:rsid w:val="00861CFB"/>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3038F"/>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10BD"/>
    <w:rsid w:val="00AD2192"/>
    <w:rsid w:val="00AD3544"/>
    <w:rsid w:val="00AD4A17"/>
    <w:rsid w:val="00AD5BD0"/>
    <w:rsid w:val="00AF2279"/>
    <w:rsid w:val="00AF4B2D"/>
    <w:rsid w:val="00AF5605"/>
    <w:rsid w:val="00AF69A1"/>
    <w:rsid w:val="00B22E3E"/>
    <w:rsid w:val="00B2424D"/>
    <w:rsid w:val="00B35012"/>
    <w:rsid w:val="00B36582"/>
    <w:rsid w:val="00B52587"/>
    <w:rsid w:val="00B807B6"/>
    <w:rsid w:val="00BB2D7A"/>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C74BB"/>
    <w:rsid w:val="00ED1080"/>
    <w:rsid w:val="00ED2EDB"/>
    <w:rsid w:val="00ED7B5B"/>
    <w:rsid w:val="00EE24A2"/>
    <w:rsid w:val="00EE74B4"/>
    <w:rsid w:val="00EF5D3B"/>
    <w:rsid w:val="00F070DD"/>
    <w:rsid w:val="00F3151D"/>
    <w:rsid w:val="00F375C2"/>
    <w:rsid w:val="00F448D1"/>
    <w:rsid w:val="00F5679C"/>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45789772">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69691314">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029325952">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rm.coe.int/moneyval-2023-19-cy-3rdenhfur/1680ae829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m.coe.int/cyprus-eu-scoreboard-country-fiches-2022-data/1680b065ef" TargetMode="External"/><Relationship Id="rId17" Type="http://schemas.openxmlformats.org/officeDocument/2006/relationships/hyperlink" Target="https://rm.coe.int/grecorc4-2023-15-final-eng-2nd-add-to-the-2nd-compliance-report-cyprus/1680ae19a2" TargetMode="External"/><Relationship Id="rId2" Type="http://schemas.openxmlformats.org/officeDocument/2006/relationships/numbering" Target="numbering.xml"/><Relationship Id="rId16" Type="http://schemas.openxmlformats.org/officeDocument/2006/relationships/hyperlink" Target="https://hudoc.exec.coe.int/eng?i=DH-DD(2024)1279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cyprus/1680b1df60"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10" Type="http://schemas.openxmlformats.org/officeDocument/2006/relationships/hyperlink" Target="http://www.coe.int/en/web/cepej/cepej-sta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810</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6</cp:revision>
  <dcterms:created xsi:type="dcterms:W3CDTF">2025-01-20T14:32:00Z</dcterms:created>
  <dcterms:modified xsi:type="dcterms:W3CDTF">2025-02-03T07:37:00Z</dcterms:modified>
</cp:coreProperties>
</file>